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55" w:rsidRDefault="000E5855" w:rsidP="000E5855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0E585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http://bryansk.fas.gov.ru/news/14935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F10774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http://bryansk.fas.gov.ru/news/14935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0E5855" w:rsidRDefault="000E5855" w:rsidP="000E5855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0E5855" w:rsidRDefault="000E5855" w:rsidP="000E5855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0E5855" w:rsidRPr="000E5855" w:rsidRDefault="000E5855" w:rsidP="000E5855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E585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04.05.2018  г.</w:t>
      </w:r>
    </w:p>
    <w:p w:rsidR="000E5855" w:rsidRPr="000E5855" w:rsidRDefault="000E5855" w:rsidP="000E585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E5855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0E5855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0E5855">
        <w:rPr>
          <w:rFonts w:ascii="Tahoma" w:hAnsi="Tahoma" w:cs="Tahoma"/>
          <w:color w:val="000000"/>
          <w:sz w:val="20"/>
          <w:szCs w:val="20"/>
        </w:rPr>
        <w:t xml:space="preserve"> состоянию с 23.04.2018 г. по 29.04.2018г.</w:t>
      </w:r>
    </w:p>
    <w:p w:rsidR="000E5855" w:rsidRPr="000E5855" w:rsidRDefault="000E5855" w:rsidP="000E585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E5855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0E5855" w:rsidRPr="000E5855" w:rsidRDefault="000E5855" w:rsidP="000E585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E5855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0E5855" w:rsidRPr="000E5855" w:rsidTr="000E5855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0E5855" w:rsidRPr="000E5855" w:rsidTr="000E5855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0E5855" w:rsidRPr="000E5855" w:rsidRDefault="000E5855" w:rsidP="000E585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37,90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39,90/</w:t>
            </w:r>
          </w:p>
        </w:tc>
      </w:tr>
      <w:tr w:rsidR="000E5855" w:rsidRPr="000E5855" w:rsidTr="000E5855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0E5855" w:rsidRPr="000E5855" w:rsidRDefault="000E5855" w:rsidP="000E585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41,99/</w:t>
            </w:r>
          </w:p>
        </w:tc>
      </w:tr>
      <w:tr w:rsidR="000E5855" w:rsidRPr="000E5855" w:rsidTr="000E5855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0E5855" w:rsidRPr="000E5855" w:rsidRDefault="000E5855" w:rsidP="000E585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36,80-37,80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39,80-40,80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40,19-41,59</w:t>
            </w:r>
          </w:p>
        </w:tc>
      </w:tr>
      <w:tr w:rsidR="000E5855" w:rsidRPr="000E5855" w:rsidTr="000E5855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0E5855" w:rsidRPr="000E5855" w:rsidRDefault="000E5855" w:rsidP="000E585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37,87-38,87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40,87-41,87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5855" w:rsidRPr="000E5855" w:rsidRDefault="000E5855" w:rsidP="000E585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5855">
              <w:rPr>
                <w:rFonts w:ascii="Tahoma" w:hAnsi="Tahoma" w:cs="Tahoma"/>
                <w:color w:val="000000"/>
                <w:sz w:val="20"/>
                <w:szCs w:val="20"/>
              </w:rPr>
              <w:t>41,27-41,47/</w:t>
            </w:r>
          </w:p>
        </w:tc>
      </w:tr>
    </w:tbl>
    <w:p w:rsidR="001C741A" w:rsidRPr="000E5855" w:rsidRDefault="001C741A" w:rsidP="000E5855"/>
    <w:sectPr w:rsidR="001C741A" w:rsidRPr="000E5855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0E5855"/>
    <w:rsid w:val="001710A4"/>
    <w:rsid w:val="001712E0"/>
    <w:rsid w:val="001C741A"/>
    <w:rsid w:val="0024647B"/>
    <w:rsid w:val="00256C89"/>
    <w:rsid w:val="00281321"/>
    <w:rsid w:val="00316A5A"/>
    <w:rsid w:val="00352876"/>
    <w:rsid w:val="0036101A"/>
    <w:rsid w:val="00386A1B"/>
    <w:rsid w:val="003B2396"/>
    <w:rsid w:val="004041EF"/>
    <w:rsid w:val="00430A9D"/>
    <w:rsid w:val="00447450"/>
    <w:rsid w:val="004E13B6"/>
    <w:rsid w:val="004F5378"/>
    <w:rsid w:val="00566659"/>
    <w:rsid w:val="005D25F9"/>
    <w:rsid w:val="00637A73"/>
    <w:rsid w:val="006C212B"/>
    <w:rsid w:val="006C736E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8E667A"/>
    <w:rsid w:val="00945C69"/>
    <w:rsid w:val="009A7224"/>
    <w:rsid w:val="009D2464"/>
    <w:rsid w:val="00A45741"/>
    <w:rsid w:val="00AE001E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E52537"/>
    <w:rsid w:val="00E5300D"/>
    <w:rsid w:val="00E5775E"/>
    <w:rsid w:val="00E6350B"/>
    <w:rsid w:val="00EA4279"/>
    <w:rsid w:val="00ED73D9"/>
    <w:rsid w:val="00EF1C8B"/>
    <w:rsid w:val="00F50642"/>
    <w:rsid w:val="00F65099"/>
    <w:rsid w:val="00F72040"/>
    <w:rsid w:val="00F84C9D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2018-05-07T06:38:00Z</dcterms:created>
  <dcterms:modified xsi:type="dcterms:W3CDTF">2018-05-07T06:38:00Z</dcterms:modified>
</cp:coreProperties>
</file>